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96CE6">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bookmarkStart w:id="0" w:name="_GoBack"/>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bookmarkEnd w:id="0"/>
    <w:p w14:paraId="124AFE07">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1C9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09" w:type="dxa"/>
            <w:tcBorders>
              <w:top w:val="single" w:color="auto" w:sz="12" w:space="0"/>
              <w:left w:val="single" w:color="auto" w:sz="12" w:space="0"/>
            </w:tcBorders>
            <w:noWrap w:val="0"/>
            <w:vAlign w:val="center"/>
          </w:tcPr>
          <w:p w14:paraId="692D52CA">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14:paraId="7F6BC26E">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2AC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09" w:type="dxa"/>
            <w:tcBorders>
              <w:left w:val="single" w:color="auto" w:sz="12" w:space="0"/>
            </w:tcBorders>
            <w:noWrap w:val="0"/>
            <w:vAlign w:val="center"/>
          </w:tcPr>
          <w:p w14:paraId="3E987DD8">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14:paraId="7067D482">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4EA4AA41">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14:paraId="1553BB5E">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14:paraId="6979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0648E171">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14:paraId="7661F79F">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14:paraId="791504BA">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14:paraId="21E5E7D7">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1540C015">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14:paraId="59D0D5EB">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14:paraId="790774D7">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14:paraId="156C72D5">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33C4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709" w:type="dxa"/>
            <w:tcBorders>
              <w:left w:val="single" w:color="auto" w:sz="12" w:space="0"/>
            </w:tcBorders>
            <w:noWrap w:val="0"/>
            <w:vAlign w:val="center"/>
          </w:tcPr>
          <w:p w14:paraId="6A747DBC">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14:paraId="77BF8AE5">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14:paraId="058CD44E">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147EC13F">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14:paraId="6D8C90D0">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57FC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709" w:type="dxa"/>
            <w:tcBorders>
              <w:left w:val="single" w:color="auto" w:sz="12" w:space="0"/>
            </w:tcBorders>
            <w:noWrap w:val="0"/>
            <w:vAlign w:val="center"/>
          </w:tcPr>
          <w:p w14:paraId="7CB1DB9A">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14:paraId="6DD1BE55">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3BFB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tcBorders>
              <w:left w:val="single" w:color="auto" w:sz="12" w:space="0"/>
            </w:tcBorders>
            <w:noWrap w:val="0"/>
            <w:vAlign w:val="center"/>
          </w:tcPr>
          <w:p w14:paraId="74BEA8CF">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开户行全称及账号</w:t>
            </w:r>
          </w:p>
        </w:tc>
        <w:tc>
          <w:tcPr>
            <w:tcW w:w="7974" w:type="dxa"/>
            <w:gridSpan w:val="4"/>
            <w:tcBorders>
              <w:right w:val="single" w:color="auto" w:sz="12" w:space="0"/>
            </w:tcBorders>
            <w:noWrap w:val="0"/>
            <w:vAlign w:val="center"/>
          </w:tcPr>
          <w:p w14:paraId="2E595A8C">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385A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B78C32B">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宋体" w:hAnsi="宋体" w:cs="宋体"/>
                <w:b/>
                <w:bCs/>
                <w:color w:val="auto"/>
                <w:sz w:val="24"/>
                <w:szCs w:val="24"/>
                <w:highlight w:val="none"/>
                <w:lang w:val="en-US" w:eastAsia="zh-CN"/>
              </w:rPr>
              <w:t>投标</w:t>
            </w:r>
            <w:r>
              <w:rPr>
                <w:rFonts w:hint="eastAsia" w:ascii="宋体" w:hAnsi="宋体" w:cs="宋体"/>
                <w:b/>
                <w:bCs/>
                <w:color w:val="auto"/>
                <w:sz w:val="24"/>
                <w:szCs w:val="24"/>
                <w:highlight w:val="none"/>
              </w:rPr>
              <w:t>登记服务费发票类型</w:t>
            </w:r>
          </w:p>
        </w:tc>
        <w:tc>
          <w:tcPr>
            <w:tcW w:w="5410" w:type="dxa"/>
            <w:gridSpan w:val="3"/>
            <w:noWrap w:val="0"/>
            <w:vAlign w:val="center"/>
          </w:tcPr>
          <w:p w14:paraId="7CE5A8AF">
            <w:pPr>
              <w:pageBreakBefore w:val="0"/>
              <w:widowControl w:val="0"/>
              <w:kinsoku/>
              <w:wordWrap/>
              <w:overflowPunct/>
              <w:topLinePunct w:val="0"/>
              <w:bidi w:val="0"/>
              <w:jc w:val="left"/>
              <w:textAlignment w:val="auto"/>
              <w:rPr>
                <w:rFonts w:hint="eastAsia" w:ascii="仿宋_GB2312" w:hAnsi="仿宋_GB2312" w:cs="仿宋_GB2312"/>
                <w:b/>
                <w:bCs/>
                <w:color w:val="auto"/>
                <w:sz w:val="24"/>
                <w:highlight w:val="none"/>
              </w:rPr>
            </w:pPr>
            <w:r>
              <w:rPr>
                <w:rFonts w:hint="eastAsia" w:ascii="宋体" w:hAnsi="宋体" w:cs="宋体"/>
                <w:b w:val="0"/>
                <w:bCs/>
                <w:color w:val="auto"/>
                <w:sz w:val="24"/>
                <w:szCs w:val="24"/>
                <w:highlight w:val="none"/>
              </w:rPr>
              <w:t>请在对应的</w:t>
            </w:r>
            <w:r>
              <w:rPr>
                <w:rFonts w:hint="eastAsia" w:ascii="宋体" w:hAnsi="宋体" w:cs="宋体"/>
                <w:b/>
                <w:bCs w:val="0"/>
                <w:color w:val="auto"/>
                <w:sz w:val="24"/>
                <w:szCs w:val="24"/>
                <w:highlight w:val="none"/>
              </w:rPr>
              <w:t>“□”打“√”</w:t>
            </w:r>
            <w:r>
              <w:rPr>
                <w:rFonts w:hint="eastAsia" w:ascii="宋体" w:hAnsi="宋体" w:cs="宋体"/>
                <w:b w:val="0"/>
                <w:bCs/>
                <w:color w:val="auto"/>
                <w:sz w:val="24"/>
                <w:szCs w:val="24"/>
                <w:highlight w:val="none"/>
              </w:rPr>
              <w:t>，且只能选择其中一项</w:t>
            </w:r>
            <w:r>
              <w:rPr>
                <w:rFonts w:hint="eastAsia" w:ascii="宋体" w:hAnsi="宋体" w:cs="宋体"/>
                <w:b w:val="0"/>
                <w:bCs/>
                <w:color w:val="auto"/>
                <w:sz w:val="24"/>
                <w:szCs w:val="24"/>
                <w:highlight w:val="none"/>
                <w:lang w:eastAsia="zh-CN"/>
              </w:rPr>
              <w:t>。</w:t>
            </w:r>
            <w:r>
              <w:rPr>
                <w:rFonts w:hint="eastAsia" w:ascii="宋体" w:hAnsi="宋体" w:cs="宋体"/>
                <w:b/>
                <w:bCs w:val="0"/>
                <w:color w:val="auto"/>
                <w:sz w:val="24"/>
                <w:highlight w:val="none"/>
                <w:lang w:val="en-US" w:eastAsia="zh-CN"/>
              </w:rPr>
              <w:t>注：若未选择发票类型，则视为开具</w:t>
            </w:r>
            <w:r>
              <w:rPr>
                <w:rFonts w:hint="eastAsia" w:ascii="宋体" w:hAnsi="宋体" w:cs="宋体"/>
                <w:b/>
                <w:bCs w:val="0"/>
                <w:color w:val="auto"/>
                <w:sz w:val="24"/>
                <w:szCs w:val="24"/>
                <w:highlight w:val="none"/>
              </w:rPr>
              <w:t>增值税普通发票</w:t>
            </w:r>
            <w:r>
              <w:rPr>
                <w:rFonts w:hint="eastAsia" w:ascii="宋体" w:hAnsi="宋体" w:cs="宋体"/>
                <w:b/>
                <w:bCs w:val="0"/>
                <w:color w:val="auto"/>
                <w:sz w:val="24"/>
                <w:highlight w:val="none"/>
                <w:lang w:val="en-US" w:eastAsia="zh-CN"/>
              </w:rPr>
              <w:t>，开具后将不予更换发票类型。</w:t>
            </w:r>
          </w:p>
        </w:tc>
        <w:tc>
          <w:tcPr>
            <w:tcW w:w="2564" w:type="dxa"/>
            <w:tcBorders>
              <w:right w:val="single" w:color="auto" w:sz="12" w:space="0"/>
            </w:tcBorders>
            <w:noWrap w:val="0"/>
            <w:vAlign w:val="center"/>
          </w:tcPr>
          <w:p w14:paraId="48347536">
            <w:pPr>
              <w:pageBreakBefore w:val="0"/>
              <w:widowControl w:val="0"/>
              <w:kinsoku/>
              <w:wordWrap/>
              <w:overflowPunct/>
              <w:topLinePunct w:val="0"/>
              <w:bidi w:val="0"/>
              <w:spacing w:line="360" w:lineRule="auto"/>
              <w:jc w:val="center"/>
              <w:textAlignment w:val="auto"/>
              <w:rPr>
                <w:rFonts w:hint="eastAsia" w:ascii="宋体" w:hAnsi="宋体" w:cs="宋体"/>
                <w:b w:val="0"/>
                <w:bCs w:val="0"/>
                <w:color w:val="auto"/>
                <w:sz w:val="24"/>
                <w:highlight w:val="none"/>
                <w:lang w:eastAsia="zh-CN"/>
              </w:rPr>
            </w:pPr>
            <w:r>
              <w:rPr>
                <w:rFonts w:hint="eastAsia" w:ascii="宋体" w:hAnsi="宋体" w:cs="宋体"/>
                <w:b w:val="0"/>
                <w:bCs/>
                <w:color w:val="auto"/>
                <w:sz w:val="24"/>
                <w:szCs w:val="24"/>
                <w:highlight w:val="none"/>
              </w:rPr>
              <w:t>□增值税普通发票</w:t>
            </w:r>
          </w:p>
          <w:p w14:paraId="3C476F63">
            <w:pPr>
              <w:pageBreakBefore w:val="0"/>
              <w:widowControl w:val="0"/>
              <w:kinsoku/>
              <w:wordWrap/>
              <w:overflowPunct/>
              <w:topLinePunct w:val="0"/>
              <w:bidi w:val="0"/>
              <w:spacing w:line="360" w:lineRule="auto"/>
              <w:jc w:val="center"/>
              <w:textAlignment w:val="auto"/>
              <w:rPr>
                <w:rFonts w:hint="eastAsia" w:ascii="仿宋_GB2312" w:hAnsi="仿宋_GB2312" w:cs="仿宋_GB2312"/>
                <w:color w:val="auto"/>
                <w:sz w:val="24"/>
                <w:highlight w:val="none"/>
              </w:rPr>
            </w:pPr>
            <w:r>
              <w:rPr>
                <w:rFonts w:hint="eastAsia" w:ascii="宋体" w:hAnsi="宋体" w:cs="宋体"/>
                <w:b w:val="0"/>
                <w:bCs/>
                <w:color w:val="auto"/>
                <w:sz w:val="24"/>
                <w:szCs w:val="24"/>
                <w:highlight w:val="none"/>
              </w:rPr>
              <w:t>□增值税专用发票</w:t>
            </w:r>
          </w:p>
        </w:tc>
      </w:tr>
      <w:tr w14:paraId="4E6B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FCD0A3C">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14:paraId="68CF8E5C">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311AEA1C">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14:paraId="41478997">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5969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23C40BA">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14:paraId="22894DDA">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4A1D77DB">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14:paraId="10DBAC16">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7722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5F2A09AC">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14:paraId="6DDBCEEF">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14:paraId="23F9D74B">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14:paraId="28AE0D71">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14:paraId="09B4B6C2">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14:paraId="3FA85950">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14:paraId="190F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2D432223">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14:paraId="056D98B4">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14:paraId="08DE77F8"/>
    <w:p w14:paraId="0085A6DD"/>
    <w:sectPr>
      <w:pgSz w:w="11906" w:h="16838"/>
      <w:pgMar w:top="1020" w:right="12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056B4"/>
    <w:rsid w:val="01AD3ADF"/>
    <w:rsid w:val="1820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99"/>
    <w:pPr>
      <w:ind w:left="210"/>
      <w:jc w:val="left"/>
    </w:pPr>
    <w:rPr>
      <w:smallCaps/>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2026-03-12T07:32:00Z</dcterms:created>
  <dc:creator>杜思卉</dc:creator>
  <cp:lastModifiedBy>杜思卉</cp:lastModifiedBy>
  <dcterms:modified xsi:type="dcterms:W3CDTF">2026-03-12T07:32:52Z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9F6E6B66F5B34D688D57F75515DFF76F_11</vt:lpwstr>
  </property>
  <property fmtid="{D5CDD505-2E9C-101B-9397-08002B2CF9AE}" pid="4" name="KSOTemplateDocerSaveRecord">
    <vt:lpwstr>eyJoZGlkIjoiZWJlY2I4NWIzZmE1MjViNzRkNjBhYWQyNDJhODNlMWUiLCJ1c2VySWQiOiIzOTU2MDkxMTUifQ==</vt:lpwstr>
  </property>
</Properties>
</file>